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D5" w:rsidRDefault="00C24AF6" w:rsidP="00E44DE7">
      <w:pPr>
        <w:jc w:val="center"/>
        <w:rPr>
          <w:rFonts w:ascii="Arial" w:hAnsi="Arial" w:cs="Arial"/>
          <w:b/>
          <w:sz w:val="24"/>
        </w:rPr>
      </w:pPr>
      <w:r>
        <w:rPr>
          <w:rFonts w:ascii="Arial" w:hAnsi="Arial" w:cs="Arial"/>
          <w:b/>
          <w:sz w:val="24"/>
        </w:rPr>
        <w:t>Appendix 2</w:t>
      </w:r>
      <w:r w:rsidR="00644143">
        <w:rPr>
          <w:rFonts w:ascii="Arial" w:hAnsi="Arial" w:cs="Arial"/>
          <w:b/>
          <w:sz w:val="24"/>
        </w:rPr>
        <w:t xml:space="preserve"> a)</w:t>
      </w:r>
      <w:r>
        <w:rPr>
          <w:rFonts w:ascii="Arial" w:hAnsi="Arial" w:cs="Arial"/>
          <w:b/>
          <w:sz w:val="24"/>
        </w:rPr>
        <w:t xml:space="preserve">: </w:t>
      </w:r>
      <w:r w:rsidR="00430AB6">
        <w:rPr>
          <w:rFonts w:ascii="Arial" w:hAnsi="Arial" w:cs="Arial"/>
          <w:b/>
          <w:sz w:val="24"/>
        </w:rPr>
        <w:t xml:space="preserve">Cabinet Responses to </w:t>
      </w:r>
      <w:r w:rsidR="00E44DE7" w:rsidRPr="00E44DE7">
        <w:rPr>
          <w:rFonts w:ascii="Arial" w:hAnsi="Arial" w:cs="Arial"/>
          <w:b/>
          <w:sz w:val="24"/>
        </w:rPr>
        <w:t>Scru</w:t>
      </w:r>
      <w:r w:rsidR="00430AB6">
        <w:rPr>
          <w:rFonts w:ascii="Arial" w:hAnsi="Arial" w:cs="Arial"/>
          <w:b/>
          <w:sz w:val="24"/>
        </w:rPr>
        <w:t xml:space="preserve">tiny recommendations </w:t>
      </w:r>
    </w:p>
    <w:p w:rsidR="00C24AF6" w:rsidRDefault="00C24AF6" w:rsidP="00E44DE7">
      <w:pPr>
        <w:jc w:val="center"/>
        <w:rPr>
          <w:rFonts w:ascii="Arial" w:hAnsi="Arial" w:cs="Arial"/>
          <w:b/>
          <w:sz w:val="24"/>
        </w:rPr>
      </w:pPr>
    </w:p>
    <w:p w:rsidR="00C24AF6" w:rsidRPr="006E0918" w:rsidRDefault="006B68F4" w:rsidP="00E44DE7">
      <w:pPr>
        <w:jc w:val="center"/>
        <w:rPr>
          <w:rFonts w:ascii="Arial" w:hAnsi="Arial" w:cs="Arial"/>
          <w:b/>
          <w:sz w:val="28"/>
        </w:rPr>
      </w:pPr>
      <w:r>
        <w:rPr>
          <w:rFonts w:ascii="Arial" w:hAnsi="Arial" w:cs="Arial"/>
          <w:b/>
          <w:sz w:val="28"/>
        </w:rPr>
        <w:t>13</w:t>
      </w:r>
      <w:r w:rsidR="00C24AF6" w:rsidRPr="006E0918">
        <w:rPr>
          <w:rFonts w:ascii="Arial" w:hAnsi="Arial" w:cs="Arial"/>
          <w:b/>
          <w:sz w:val="28"/>
        </w:rPr>
        <w:t xml:space="preserve"> </w:t>
      </w:r>
      <w:r w:rsidR="00644143">
        <w:rPr>
          <w:rFonts w:ascii="Arial" w:hAnsi="Arial" w:cs="Arial"/>
          <w:b/>
          <w:sz w:val="28"/>
        </w:rPr>
        <w:t>November</w:t>
      </w:r>
      <w:r w:rsidR="009B3D5E">
        <w:rPr>
          <w:rFonts w:ascii="Arial" w:hAnsi="Arial" w:cs="Arial"/>
          <w:b/>
          <w:sz w:val="28"/>
        </w:rPr>
        <w:t xml:space="preserve"> </w:t>
      </w:r>
      <w:bookmarkStart w:id="0" w:name="_GoBack"/>
      <w:bookmarkEnd w:id="0"/>
      <w:r w:rsidR="00C24AF6" w:rsidRPr="006E0918">
        <w:rPr>
          <w:rFonts w:ascii="Arial" w:hAnsi="Arial" w:cs="Arial"/>
          <w:b/>
          <w:sz w:val="28"/>
        </w:rPr>
        <w:t>CABINET</w:t>
      </w:r>
    </w:p>
    <w:p w:rsidR="00C24AF6" w:rsidRPr="00644143" w:rsidRDefault="00644143" w:rsidP="00644143">
      <w:pPr>
        <w:spacing w:after="0" w:line="240" w:lineRule="auto"/>
        <w:rPr>
          <w:rFonts w:ascii="Arial" w:eastAsia="Times New Roman" w:hAnsi="Arial" w:cs="Arial"/>
          <w:b/>
          <w:sz w:val="24"/>
          <w:szCs w:val="24"/>
        </w:rPr>
      </w:pPr>
      <w:r w:rsidRPr="00644143">
        <w:rPr>
          <w:rFonts w:ascii="Arial" w:eastAsia="Times New Roman" w:hAnsi="Arial" w:cs="Arial"/>
          <w:b/>
          <w:sz w:val="24"/>
          <w:szCs w:val="24"/>
        </w:rPr>
        <w:t>Community Land Trusts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644143" w:rsidRPr="00644143" w:rsidTr="005A47D1">
        <w:tc>
          <w:tcPr>
            <w:tcW w:w="6629" w:type="dxa"/>
            <w:shd w:val="clear" w:color="auto" w:fill="D9D9D9" w:themeFill="background1" w:themeFillShade="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Recommendation</w:t>
            </w:r>
          </w:p>
        </w:tc>
        <w:tc>
          <w:tcPr>
            <w:tcW w:w="1134" w:type="dxa"/>
            <w:shd w:val="clear" w:color="auto" w:fill="D9D9D9" w:themeFill="background1" w:themeFillShade="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 xml:space="preserve">Agree? </w:t>
            </w:r>
          </w:p>
        </w:tc>
        <w:tc>
          <w:tcPr>
            <w:tcW w:w="6520" w:type="dxa"/>
            <w:shd w:val="clear" w:color="auto" w:fill="D9D9D9" w:themeFill="background1" w:themeFillShade="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Comment</w:t>
            </w:r>
          </w:p>
        </w:tc>
      </w:tr>
      <w:tr w:rsidR="00644143" w:rsidRPr="00644143" w:rsidTr="005A47D1">
        <w:trPr>
          <w:trHeight w:val="305"/>
        </w:trPr>
        <w:tc>
          <w:tcPr>
            <w:tcW w:w="6629" w:type="dxa"/>
            <w:shd w:val="clear" w:color="auto" w:fill="auto"/>
          </w:tcPr>
          <w:p w:rsidR="00644143" w:rsidRPr="00644143" w:rsidRDefault="00644143" w:rsidP="00644143">
            <w:pPr>
              <w:numPr>
                <w:ilvl w:val="0"/>
                <w:numId w:val="21"/>
              </w:numPr>
              <w:spacing w:after="0" w:line="240" w:lineRule="auto"/>
              <w:rPr>
                <w:rStyle w:val="Emphasis"/>
                <w:rFonts w:ascii="Arial" w:hAnsi="Arial" w:cs="Arial"/>
                <w:i w:val="0"/>
                <w:iCs w:val="0"/>
                <w:sz w:val="24"/>
                <w:szCs w:val="24"/>
              </w:rPr>
            </w:pPr>
            <w:r w:rsidRPr="00644143">
              <w:rPr>
                <w:rStyle w:val="Emphasis"/>
                <w:rFonts w:ascii="Arial" w:hAnsi="Arial" w:cs="Arial"/>
                <w:bCs/>
                <w:i w:val="0"/>
                <w:sz w:val="24"/>
                <w:szCs w:val="24"/>
                <w:shd w:val="clear" w:color="auto" w:fill="FFFFFF"/>
              </w:rPr>
              <w:t>That the Council will, when publicising and raising awareness of Community Led Housing, take steps to ensure that the barriers to demographic groups with less exposure to the concepts of communal living, particularly social housing tenants, are identified and addressed, and to ensure that these groups are equally equipped to understand the benefits of and to participate in the opportunities afforded by Community Led Housing.</w:t>
            </w:r>
          </w:p>
          <w:p w:rsidR="00644143" w:rsidRPr="00644143" w:rsidRDefault="00644143" w:rsidP="005A47D1">
            <w:pPr>
              <w:spacing w:after="0"/>
              <w:ind w:left="720"/>
              <w:rPr>
                <w:rFonts w:ascii="Arial" w:hAnsi="Arial" w:cs="Arial"/>
                <w:sz w:val="24"/>
                <w:szCs w:val="24"/>
              </w:rPr>
            </w:pPr>
          </w:p>
        </w:tc>
        <w:tc>
          <w:tcPr>
            <w:tcW w:w="1134" w:type="dxa"/>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 xml:space="preserve">Agreed </w:t>
            </w:r>
          </w:p>
        </w:tc>
        <w:tc>
          <w:tcPr>
            <w:tcW w:w="6520" w:type="dxa"/>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In the nature of the projects being “community led”, we must let the hub and CLH groups take the lead on this, i.e. we will promote interest in their model(s) by highlighting and distributing their publicity.</w:t>
            </w:r>
          </w:p>
        </w:tc>
      </w:tr>
      <w:tr w:rsidR="00644143" w:rsidRPr="00644143" w:rsidTr="005A47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644143">
            <w:pPr>
              <w:pStyle w:val="NoSpacing"/>
              <w:numPr>
                <w:ilvl w:val="0"/>
                <w:numId w:val="21"/>
              </w:numPr>
              <w:rPr>
                <w:rFonts w:cs="Arial"/>
                <w:i/>
                <w:szCs w:val="24"/>
              </w:rPr>
            </w:pPr>
            <w:r w:rsidRPr="00644143">
              <w:rPr>
                <w:rStyle w:val="Emphasis"/>
                <w:rFonts w:cs="Arial"/>
                <w:bCs/>
                <w:i w:val="0"/>
                <w:szCs w:val="24"/>
                <w:shd w:val="clear" w:color="auto" w:fill="FFFFFF"/>
              </w:rPr>
              <w:t xml:space="preserve">That the Council will, in identifying tenants with the values, skills and motivations suited to community living, give the Oxfordshire Community Land Trust a formal role in the selection process.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Partial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spacing w:after="0"/>
              <w:rPr>
                <w:rFonts w:ascii="Arial" w:hAnsi="Arial" w:cs="Arial"/>
                <w:sz w:val="24"/>
                <w:szCs w:val="24"/>
              </w:rPr>
            </w:pPr>
            <w:r w:rsidRPr="00644143">
              <w:rPr>
                <w:rFonts w:ascii="Arial" w:hAnsi="Arial" w:cs="Arial"/>
                <w:sz w:val="24"/>
                <w:szCs w:val="24"/>
              </w:rPr>
              <w:t>As a Council we have a duty to ensure housing needs are met, and we will not give any provider a role in selection that could risk the “cherry-picking” of prospective tenants.  I expect, however, that agreement can be reached on the CLH groups having an important advisory role.</w:t>
            </w:r>
          </w:p>
        </w:tc>
      </w:tr>
    </w:tbl>
    <w:p w:rsidR="00644143" w:rsidRPr="00644143" w:rsidRDefault="00644143" w:rsidP="00644143">
      <w:pPr>
        <w:spacing w:after="0" w:line="240" w:lineRule="auto"/>
        <w:rPr>
          <w:rFonts w:ascii="Arial" w:eastAsia="Times New Roman" w:hAnsi="Arial" w:cs="Arial"/>
          <w:b/>
          <w:sz w:val="24"/>
          <w:szCs w:val="24"/>
        </w:rPr>
      </w:pPr>
    </w:p>
    <w:p w:rsidR="00644143" w:rsidRPr="00644143" w:rsidRDefault="00644143" w:rsidP="00644143">
      <w:pPr>
        <w:spacing w:after="0" w:line="240" w:lineRule="auto"/>
        <w:rPr>
          <w:rFonts w:ascii="Arial" w:eastAsia="Times New Roman" w:hAnsi="Arial" w:cs="Arial"/>
          <w:b/>
          <w:sz w:val="24"/>
          <w:szCs w:val="24"/>
        </w:rPr>
      </w:pPr>
      <w:r w:rsidRPr="00644143">
        <w:rPr>
          <w:rFonts w:ascii="Arial" w:eastAsia="Times New Roman" w:hAnsi="Arial" w:cs="Arial"/>
          <w:b/>
          <w:sz w:val="24"/>
          <w:szCs w:val="24"/>
        </w:rPr>
        <w:t>Workforce Equality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644143" w:rsidRPr="00644143" w:rsidTr="005A47D1">
        <w:tc>
          <w:tcPr>
            <w:tcW w:w="6629" w:type="dxa"/>
            <w:shd w:val="clear" w:color="auto" w:fill="D9D9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Recommendation</w:t>
            </w:r>
          </w:p>
        </w:tc>
        <w:tc>
          <w:tcPr>
            <w:tcW w:w="1134" w:type="dxa"/>
            <w:shd w:val="clear" w:color="auto" w:fill="D9D9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 xml:space="preserve">Agree? </w:t>
            </w:r>
          </w:p>
        </w:tc>
        <w:tc>
          <w:tcPr>
            <w:tcW w:w="6520" w:type="dxa"/>
            <w:shd w:val="clear" w:color="auto" w:fill="D9D9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Comment</w:t>
            </w:r>
          </w:p>
        </w:tc>
      </w:tr>
      <w:tr w:rsidR="00644143" w:rsidRPr="00644143" w:rsidTr="005A47D1">
        <w:trPr>
          <w:trHeight w:val="305"/>
        </w:trPr>
        <w:tc>
          <w:tcPr>
            <w:tcW w:w="6629" w:type="dxa"/>
            <w:shd w:val="clear" w:color="auto" w:fill="auto"/>
          </w:tcPr>
          <w:p w:rsidR="00644143" w:rsidRPr="00644143" w:rsidRDefault="00644143" w:rsidP="00644143">
            <w:pPr>
              <w:numPr>
                <w:ilvl w:val="0"/>
                <w:numId w:val="28"/>
              </w:numPr>
              <w:spacing w:after="0" w:line="240" w:lineRule="auto"/>
              <w:rPr>
                <w:rFonts w:ascii="Arial" w:hAnsi="Arial" w:cs="Arial"/>
                <w:sz w:val="24"/>
                <w:szCs w:val="24"/>
              </w:rPr>
            </w:pPr>
            <w:r w:rsidRPr="00644143">
              <w:rPr>
                <w:rFonts w:ascii="Arial" w:hAnsi="Arial" w:cs="Arial"/>
                <w:sz w:val="24"/>
                <w:szCs w:val="24"/>
              </w:rPr>
              <w:t>That consideration is given to the suitability of the Council’s current policy in regards to BAME and female representation on officer-led recruitment panels, particularly with reference to the recruitment of heads of service.</w:t>
            </w:r>
          </w:p>
        </w:tc>
        <w:tc>
          <w:tcPr>
            <w:tcW w:w="1134" w:type="dxa"/>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Agree</w:t>
            </w:r>
          </w:p>
        </w:tc>
        <w:tc>
          <w:tcPr>
            <w:tcW w:w="6520" w:type="dxa"/>
            <w:shd w:val="clear" w:color="auto" w:fill="auto"/>
          </w:tcPr>
          <w:p w:rsidR="00644143" w:rsidRPr="00644143" w:rsidRDefault="00644143" w:rsidP="005A47D1">
            <w:pPr>
              <w:rPr>
                <w:rFonts w:ascii="Arial" w:hAnsi="Arial" w:cs="Arial"/>
                <w:sz w:val="24"/>
                <w:szCs w:val="24"/>
              </w:rPr>
            </w:pPr>
          </w:p>
        </w:tc>
      </w:tr>
      <w:tr w:rsidR="00644143" w:rsidRPr="00644143" w:rsidTr="005A47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644143">
            <w:pPr>
              <w:pStyle w:val="NoSpacing"/>
              <w:numPr>
                <w:ilvl w:val="0"/>
                <w:numId w:val="28"/>
              </w:numPr>
              <w:rPr>
                <w:rFonts w:cs="Arial"/>
                <w:szCs w:val="24"/>
              </w:rPr>
            </w:pPr>
            <w:r w:rsidRPr="00644143">
              <w:rPr>
                <w:rFonts w:cs="Arial"/>
                <w:szCs w:val="24"/>
              </w:rPr>
              <w:t>That when making appointments to Director and Head of Service level that the Council expressly shares its expectation to relevant recruitment agencies that shortlists will include women and BAME candidates.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spacing w:after="0"/>
              <w:rPr>
                <w:rFonts w:ascii="Arial" w:hAnsi="Arial" w:cs="Arial"/>
                <w:sz w:val="24"/>
                <w:szCs w:val="24"/>
              </w:rPr>
            </w:pPr>
          </w:p>
        </w:tc>
      </w:tr>
      <w:tr w:rsidR="00644143" w:rsidRPr="00644143" w:rsidTr="005A47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644143">
            <w:pPr>
              <w:pStyle w:val="ListParagraph"/>
              <w:numPr>
                <w:ilvl w:val="0"/>
                <w:numId w:val="28"/>
              </w:numPr>
              <w:tabs>
                <w:tab w:val="clear" w:pos="426"/>
              </w:tabs>
              <w:spacing w:after="0"/>
              <w:rPr>
                <w:rStyle w:val="Emphasis"/>
                <w:rFonts w:cs="Arial"/>
                <w:i w:val="0"/>
                <w:iCs w:val="0"/>
              </w:rPr>
            </w:pPr>
            <w:r w:rsidRPr="00644143">
              <w:rPr>
                <w:rStyle w:val="Emphasis"/>
                <w:rFonts w:cs="Arial"/>
                <w:i w:val="0"/>
              </w:rPr>
              <w:lastRenderedPageBreak/>
              <w:t>That all managers, particularly senior managers, be given structural discrimination training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spacing w:after="0"/>
              <w:rPr>
                <w:rFonts w:ascii="Arial" w:hAnsi="Arial" w:cs="Arial"/>
                <w:sz w:val="24"/>
                <w:szCs w:val="24"/>
              </w:rPr>
            </w:pPr>
            <w:r w:rsidRPr="00644143">
              <w:rPr>
                <w:rFonts w:ascii="Arial" w:hAnsi="Arial" w:cs="Arial"/>
                <w:sz w:val="24"/>
                <w:szCs w:val="24"/>
              </w:rPr>
              <w:t>Care will be required to avoid duplication with existing training</w:t>
            </w:r>
          </w:p>
        </w:tc>
      </w:tr>
      <w:tr w:rsidR="00644143" w:rsidRPr="00644143" w:rsidTr="005A47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644143">
            <w:pPr>
              <w:pStyle w:val="ListParagraph"/>
              <w:numPr>
                <w:ilvl w:val="0"/>
                <w:numId w:val="28"/>
              </w:numPr>
              <w:tabs>
                <w:tab w:val="clear" w:pos="426"/>
              </w:tabs>
              <w:spacing w:after="0"/>
              <w:rPr>
                <w:rStyle w:val="Emphasis"/>
                <w:rFonts w:cs="Arial"/>
                <w:iCs w:val="0"/>
              </w:rPr>
            </w:pPr>
            <w:r w:rsidRPr="00644143">
              <w:rPr>
                <w:rFonts w:cs="Arial"/>
              </w:rPr>
              <w:t xml:space="preserve">That briefings on current outreach and employment opportunities be provided to civic office holders, with details to include </w:t>
            </w:r>
            <w:proofErr w:type="spellStart"/>
            <w:r w:rsidRPr="00644143">
              <w:rPr>
                <w:rFonts w:cs="Arial"/>
              </w:rPr>
              <w:t>i</w:t>
            </w:r>
            <w:proofErr w:type="spellEnd"/>
            <w:r w:rsidRPr="00644143">
              <w:rPr>
                <w:rFonts w:cs="Arial"/>
              </w:rPr>
              <w:t>) the support available to BAME groups to make applications to work at the Council, ii) upcoming job fairs and other events, and iii) upcoming apprenticeship and graduate placements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spacing w:after="0"/>
              <w:rPr>
                <w:rFonts w:ascii="Arial" w:hAnsi="Arial" w:cs="Arial"/>
                <w:sz w:val="24"/>
                <w:szCs w:val="24"/>
              </w:rPr>
            </w:pPr>
          </w:p>
        </w:tc>
      </w:tr>
      <w:tr w:rsidR="00644143" w:rsidRPr="00644143" w:rsidTr="005A47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644143">
            <w:pPr>
              <w:pStyle w:val="ListParagraph"/>
              <w:numPr>
                <w:ilvl w:val="0"/>
                <w:numId w:val="28"/>
              </w:numPr>
              <w:tabs>
                <w:tab w:val="clear" w:pos="426"/>
              </w:tabs>
              <w:spacing w:after="0"/>
              <w:rPr>
                <w:rStyle w:val="Emphasis"/>
                <w:rFonts w:cs="Arial"/>
                <w:iCs w:val="0"/>
              </w:rPr>
            </w:pPr>
            <w:r w:rsidRPr="00644143">
              <w:rPr>
                <w:rFonts w:cs="Arial"/>
              </w:rPr>
              <w:t>That the Council extends the number of targeted BAME-focused careers fairs to reach different BAME communities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spacing w:after="0"/>
              <w:rPr>
                <w:rFonts w:ascii="Arial" w:hAnsi="Arial" w:cs="Arial"/>
                <w:sz w:val="24"/>
                <w:szCs w:val="24"/>
              </w:rPr>
            </w:pPr>
          </w:p>
        </w:tc>
      </w:tr>
      <w:tr w:rsidR="00644143" w:rsidRPr="00644143" w:rsidTr="005A47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644143">
            <w:pPr>
              <w:pStyle w:val="ListParagraph"/>
              <w:numPr>
                <w:ilvl w:val="0"/>
                <w:numId w:val="28"/>
              </w:numPr>
              <w:tabs>
                <w:tab w:val="clear" w:pos="426"/>
              </w:tabs>
              <w:spacing w:after="0"/>
              <w:rPr>
                <w:rStyle w:val="Emphasis"/>
                <w:rFonts w:cs="Arial"/>
                <w:iCs w:val="0"/>
              </w:rPr>
            </w:pPr>
            <w:r w:rsidRPr="00644143">
              <w:rPr>
                <w:rFonts w:cs="Arial"/>
              </w:rPr>
              <w:t>That Oxford Direct Services is held to the same equality standards as the Council, and that it should make regular reports on actions taken towards and progress against equality goals to the shareholder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spacing w:after="0"/>
              <w:rPr>
                <w:rFonts w:ascii="Arial" w:hAnsi="Arial" w:cs="Arial"/>
                <w:sz w:val="24"/>
                <w:szCs w:val="24"/>
              </w:rPr>
            </w:pPr>
          </w:p>
        </w:tc>
      </w:tr>
      <w:tr w:rsidR="00644143" w:rsidRPr="00644143" w:rsidTr="005A47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644143">
            <w:pPr>
              <w:pStyle w:val="ListParagraph"/>
              <w:numPr>
                <w:ilvl w:val="0"/>
                <w:numId w:val="28"/>
              </w:numPr>
              <w:tabs>
                <w:tab w:val="clear" w:pos="426"/>
              </w:tabs>
              <w:spacing w:after="0"/>
              <w:rPr>
                <w:rFonts w:cs="Arial"/>
              </w:rPr>
            </w:pPr>
            <w:r w:rsidRPr="00644143">
              <w:rPr>
                <w:rFonts w:cs="Arial"/>
              </w:rPr>
              <w:t>To investigate the reasons for the high rate of non-disclosure over sexual orientation, and consider whether as part of that work to engage with the Stonewall Workforce Equality Index.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spacing w:after="0"/>
              <w:rPr>
                <w:rFonts w:ascii="Arial" w:hAnsi="Arial" w:cs="Arial"/>
                <w:sz w:val="24"/>
                <w:szCs w:val="24"/>
              </w:rPr>
            </w:pPr>
          </w:p>
        </w:tc>
      </w:tr>
      <w:tr w:rsidR="00644143" w:rsidRPr="00644143" w:rsidTr="005A47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644143">
            <w:pPr>
              <w:pStyle w:val="ListParagraph"/>
              <w:numPr>
                <w:ilvl w:val="0"/>
                <w:numId w:val="28"/>
              </w:numPr>
              <w:tabs>
                <w:tab w:val="clear" w:pos="426"/>
              </w:tabs>
              <w:spacing w:after="0"/>
              <w:rPr>
                <w:rFonts w:cs="Arial"/>
              </w:rPr>
            </w:pPr>
            <w:r w:rsidRPr="00644143">
              <w:rPr>
                <w:rFonts w:cs="Arial"/>
              </w:rPr>
              <w:t>Before new census data are released learning on which approaches are and are not successful in attracting BAME staff is captured to inform recruitment strategies.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spacing w:after="0"/>
              <w:rPr>
                <w:rFonts w:ascii="Arial" w:hAnsi="Arial" w:cs="Arial"/>
                <w:sz w:val="24"/>
                <w:szCs w:val="24"/>
              </w:rPr>
            </w:pPr>
          </w:p>
        </w:tc>
      </w:tr>
    </w:tbl>
    <w:p w:rsidR="00644143" w:rsidRDefault="00644143" w:rsidP="00644143">
      <w:pPr>
        <w:spacing w:after="0" w:line="240" w:lineRule="auto"/>
        <w:rPr>
          <w:rFonts w:ascii="Arial" w:eastAsia="Times New Roman" w:hAnsi="Arial" w:cs="Arial"/>
          <w:b/>
          <w:sz w:val="28"/>
          <w:szCs w:val="28"/>
        </w:rPr>
      </w:pPr>
    </w:p>
    <w:p w:rsidR="00644143" w:rsidRDefault="00644143" w:rsidP="00644143">
      <w:pPr>
        <w:spacing w:after="0" w:line="240" w:lineRule="auto"/>
        <w:rPr>
          <w:rFonts w:ascii="Arial" w:eastAsia="Times New Roman" w:hAnsi="Arial" w:cs="Arial"/>
          <w:b/>
          <w:sz w:val="28"/>
          <w:szCs w:val="28"/>
        </w:rPr>
        <w:sectPr w:rsidR="00644143" w:rsidSect="00E44DE7">
          <w:pgSz w:w="16838" w:h="11906" w:orient="landscape"/>
          <w:pgMar w:top="720" w:right="720" w:bottom="720" w:left="720" w:header="708" w:footer="708" w:gutter="0"/>
          <w:cols w:space="708"/>
          <w:docGrid w:linePitch="360"/>
        </w:sectPr>
      </w:pPr>
    </w:p>
    <w:p w:rsidR="00644143" w:rsidRDefault="00644143" w:rsidP="00644143">
      <w:pPr>
        <w:spacing w:after="0" w:line="240" w:lineRule="auto"/>
        <w:rPr>
          <w:rFonts w:ascii="Arial" w:eastAsia="Times New Roman" w:hAnsi="Arial" w:cs="Arial"/>
          <w:b/>
          <w:sz w:val="28"/>
          <w:szCs w:val="28"/>
        </w:rPr>
      </w:pPr>
    </w:p>
    <w:p w:rsidR="00430AB6" w:rsidRDefault="00644143" w:rsidP="00430AB6">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19 December </w:t>
      </w:r>
      <w:r w:rsidR="00430AB6" w:rsidRPr="00430AB6">
        <w:rPr>
          <w:rFonts w:ascii="Arial" w:eastAsia="Times New Roman" w:hAnsi="Arial" w:cs="Arial"/>
          <w:b/>
          <w:sz w:val="28"/>
          <w:szCs w:val="28"/>
        </w:rPr>
        <w:t>CABINET</w:t>
      </w:r>
    </w:p>
    <w:p w:rsidR="00C24AF6" w:rsidRPr="00430AB6" w:rsidRDefault="00C24AF6" w:rsidP="00430AB6">
      <w:pPr>
        <w:spacing w:after="0" w:line="240" w:lineRule="auto"/>
        <w:jc w:val="center"/>
        <w:rPr>
          <w:rFonts w:ascii="Arial" w:eastAsia="Times New Roman" w:hAnsi="Arial" w:cs="Arial"/>
          <w:b/>
          <w:sz w:val="28"/>
          <w:szCs w:val="28"/>
        </w:rPr>
      </w:pPr>
    </w:p>
    <w:p w:rsidR="00430AB6" w:rsidRDefault="00644143" w:rsidP="00430AB6">
      <w:pPr>
        <w:spacing w:after="0" w:line="240" w:lineRule="auto"/>
        <w:rPr>
          <w:rFonts w:ascii="Arial" w:eastAsia="Times New Roman" w:hAnsi="Arial" w:cs="Arial"/>
          <w:b/>
          <w:sz w:val="24"/>
          <w:szCs w:val="24"/>
        </w:rPr>
      </w:pPr>
      <w:r>
        <w:rPr>
          <w:rFonts w:ascii="Arial" w:eastAsia="Times New Roman" w:hAnsi="Arial" w:cs="Arial"/>
          <w:b/>
          <w:sz w:val="24"/>
          <w:szCs w:val="24"/>
        </w:rPr>
        <w:t>Universal Credit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644143" w:rsidRPr="00AC577F" w:rsidTr="005A47D1">
        <w:tc>
          <w:tcPr>
            <w:tcW w:w="6629" w:type="dxa"/>
            <w:shd w:val="clear" w:color="auto" w:fill="D9D9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Recommendation</w:t>
            </w:r>
          </w:p>
        </w:tc>
        <w:tc>
          <w:tcPr>
            <w:tcW w:w="1134" w:type="dxa"/>
            <w:shd w:val="clear" w:color="auto" w:fill="D9D9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 xml:space="preserve">Agree? </w:t>
            </w:r>
          </w:p>
        </w:tc>
        <w:tc>
          <w:tcPr>
            <w:tcW w:w="6520" w:type="dxa"/>
            <w:shd w:val="clear" w:color="auto" w:fill="D9D9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Comment</w:t>
            </w:r>
          </w:p>
        </w:tc>
      </w:tr>
      <w:tr w:rsidR="00644143" w:rsidRPr="000C7B29" w:rsidTr="005A47D1">
        <w:trPr>
          <w:trHeight w:val="305"/>
        </w:trPr>
        <w:tc>
          <w:tcPr>
            <w:tcW w:w="6629" w:type="dxa"/>
            <w:shd w:val="clear" w:color="auto" w:fill="auto"/>
          </w:tcPr>
          <w:p w:rsidR="00644143" w:rsidRPr="00644143" w:rsidRDefault="00644143" w:rsidP="00644143">
            <w:pPr>
              <w:numPr>
                <w:ilvl w:val="0"/>
                <w:numId w:val="30"/>
              </w:numPr>
              <w:spacing w:after="0" w:line="240" w:lineRule="auto"/>
              <w:rPr>
                <w:rFonts w:ascii="Arial" w:hAnsi="Arial" w:cs="Arial"/>
                <w:sz w:val="24"/>
                <w:szCs w:val="24"/>
              </w:rPr>
            </w:pPr>
            <w:r w:rsidRPr="00644143">
              <w:rPr>
                <w:rFonts w:ascii="Arial" w:hAnsi="Arial" w:cs="Arial"/>
                <w:sz w:val="24"/>
                <w:szCs w:val="24"/>
              </w:rPr>
              <w:t>To review the Council’s Discretionary Housing Payments Policy from a needs-based perspective and is prepared to fund from general reserves any necessary top-ups beyond the Government grant figure, up to the permitted total.</w:t>
            </w:r>
          </w:p>
        </w:tc>
        <w:tc>
          <w:tcPr>
            <w:tcW w:w="1134" w:type="dxa"/>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Partially</w:t>
            </w:r>
          </w:p>
        </w:tc>
        <w:tc>
          <w:tcPr>
            <w:tcW w:w="6520" w:type="dxa"/>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We are happy to review the DHP policy to ensure that it continues to follow the current approach, which is based on the customer need for support. In order to mitigate any potential overspend, the Council will apply for approval from the MHCLG for funding of DHP expenditure in relation to Council tenants by the HRA. Any other overspend would need to be met initially from general reserves in this financial year, however this position is not sustainable going forward and therefore the DHP policy may require wider review or alternatively provision would need to be made for the increased expenditure within the Council’s budget.</w:t>
            </w:r>
          </w:p>
        </w:tc>
      </w:tr>
      <w:tr w:rsidR="00644143" w:rsidRPr="000C7B29" w:rsidTr="005A47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644143">
            <w:pPr>
              <w:pStyle w:val="NoSpacing"/>
              <w:numPr>
                <w:ilvl w:val="0"/>
                <w:numId w:val="30"/>
              </w:numPr>
              <w:rPr>
                <w:rFonts w:cs="Arial"/>
                <w:szCs w:val="24"/>
              </w:rPr>
            </w:pPr>
            <w:r w:rsidRPr="00644143">
              <w:rPr>
                <w:rFonts w:cs="Arial"/>
                <w:szCs w:val="24"/>
              </w:rPr>
              <w:t>That should a needs-based analysis demonstrate a need for Discretionary Housing Payments above the grant funding total, for Cabinet to write to central government to lobby for a higher grant.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44143" w:rsidRPr="00644143" w:rsidRDefault="00644143" w:rsidP="005A47D1">
            <w:pPr>
              <w:spacing w:after="0"/>
              <w:rPr>
                <w:rFonts w:ascii="Arial" w:hAnsi="Arial" w:cs="Arial"/>
                <w:sz w:val="24"/>
                <w:szCs w:val="24"/>
              </w:rPr>
            </w:pPr>
            <w:r w:rsidRPr="00644143">
              <w:rPr>
                <w:rFonts w:ascii="Arial" w:hAnsi="Arial" w:cs="Arial"/>
                <w:sz w:val="24"/>
                <w:szCs w:val="24"/>
              </w:rPr>
              <w:t xml:space="preserve">Current policy is based on a needs analysis.  Due to changes to Welfare Reform, customers </w:t>
            </w:r>
            <w:proofErr w:type="gramStart"/>
            <w:r w:rsidRPr="00644143">
              <w:rPr>
                <w:rFonts w:ascii="Arial" w:hAnsi="Arial" w:cs="Arial"/>
                <w:sz w:val="24"/>
                <w:szCs w:val="24"/>
              </w:rPr>
              <w:t>are now having</w:t>
            </w:r>
            <w:proofErr w:type="gramEnd"/>
            <w:r w:rsidRPr="00644143">
              <w:rPr>
                <w:rFonts w:ascii="Arial" w:hAnsi="Arial" w:cs="Arial"/>
                <w:sz w:val="24"/>
                <w:szCs w:val="24"/>
              </w:rPr>
              <w:t xml:space="preserve"> to meet their rental liability from reduced benefit payments, hence the need for the DHP spend. Consequently given this </w:t>
            </w:r>
            <w:proofErr w:type="gramStart"/>
            <w:r w:rsidRPr="00644143">
              <w:rPr>
                <w:rFonts w:ascii="Arial" w:hAnsi="Arial" w:cs="Arial"/>
                <w:sz w:val="24"/>
                <w:szCs w:val="24"/>
              </w:rPr>
              <w:t>position,</w:t>
            </w:r>
            <w:proofErr w:type="gramEnd"/>
            <w:r w:rsidRPr="00644143">
              <w:rPr>
                <w:rFonts w:ascii="Arial" w:hAnsi="Arial" w:cs="Arial"/>
                <w:sz w:val="24"/>
                <w:szCs w:val="24"/>
              </w:rPr>
              <w:t xml:space="preserve"> and reduction in DHP funding over recent years then Officers can lobby Central Government for a higher grant for 2020/21 onwards.</w:t>
            </w:r>
          </w:p>
        </w:tc>
      </w:tr>
    </w:tbl>
    <w:p w:rsidR="00644143" w:rsidRDefault="00644143" w:rsidP="00430AB6">
      <w:pPr>
        <w:spacing w:after="0" w:line="240" w:lineRule="auto"/>
        <w:rPr>
          <w:rFonts w:ascii="Arial" w:eastAsia="Times New Roman" w:hAnsi="Arial" w:cs="Arial"/>
          <w:b/>
          <w:sz w:val="24"/>
          <w:szCs w:val="24"/>
        </w:rPr>
      </w:pPr>
    </w:p>
    <w:p w:rsidR="00430AB6" w:rsidRDefault="00430AB6" w:rsidP="00E44DE7">
      <w:pPr>
        <w:spacing w:after="0" w:line="240" w:lineRule="auto"/>
        <w:rPr>
          <w:rFonts w:ascii="Arial" w:eastAsia="Times New Roman" w:hAnsi="Arial" w:cs="Arial"/>
          <w:b/>
          <w:sz w:val="24"/>
          <w:szCs w:val="24"/>
        </w:rPr>
      </w:pPr>
    </w:p>
    <w:p w:rsidR="00644143" w:rsidRDefault="00644143" w:rsidP="00E44DE7">
      <w:pPr>
        <w:spacing w:after="0" w:line="240" w:lineRule="auto"/>
        <w:rPr>
          <w:rFonts w:ascii="Arial" w:eastAsia="Times New Roman" w:hAnsi="Arial" w:cs="Arial"/>
          <w:b/>
          <w:sz w:val="24"/>
          <w:szCs w:val="24"/>
        </w:rPr>
      </w:pPr>
      <w:r>
        <w:rPr>
          <w:rFonts w:ascii="Arial" w:eastAsia="Times New Roman" w:hAnsi="Arial" w:cs="Arial"/>
          <w:b/>
          <w:sz w:val="24"/>
          <w:szCs w:val="24"/>
        </w:rPr>
        <w:t>Draft Corporate Strategy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644143" w:rsidRPr="00AC577F" w:rsidTr="005A47D1">
        <w:tc>
          <w:tcPr>
            <w:tcW w:w="6629" w:type="dxa"/>
            <w:shd w:val="clear" w:color="auto" w:fill="D9D9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Recommendation</w:t>
            </w:r>
          </w:p>
        </w:tc>
        <w:tc>
          <w:tcPr>
            <w:tcW w:w="1134" w:type="dxa"/>
            <w:shd w:val="clear" w:color="auto" w:fill="D9D9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 xml:space="preserve">Agree? </w:t>
            </w:r>
          </w:p>
        </w:tc>
        <w:tc>
          <w:tcPr>
            <w:tcW w:w="6520" w:type="dxa"/>
            <w:shd w:val="clear" w:color="auto" w:fill="D9D9D9"/>
            <w:vAlign w:val="center"/>
          </w:tcPr>
          <w:p w:rsidR="00644143" w:rsidRPr="00644143" w:rsidRDefault="00644143" w:rsidP="005A47D1">
            <w:pPr>
              <w:rPr>
                <w:rFonts w:ascii="Arial" w:hAnsi="Arial" w:cs="Arial"/>
                <w:b/>
                <w:i/>
                <w:sz w:val="24"/>
                <w:szCs w:val="24"/>
              </w:rPr>
            </w:pPr>
            <w:r w:rsidRPr="00644143">
              <w:rPr>
                <w:rFonts w:ascii="Arial" w:hAnsi="Arial" w:cs="Arial"/>
                <w:b/>
                <w:i/>
                <w:sz w:val="24"/>
                <w:szCs w:val="24"/>
              </w:rPr>
              <w:t>Comment</w:t>
            </w:r>
          </w:p>
        </w:tc>
      </w:tr>
      <w:tr w:rsidR="00644143" w:rsidRPr="00AC577F" w:rsidTr="005A47D1">
        <w:trPr>
          <w:trHeight w:val="305"/>
        </w:trPr>
        <w:tc>
          <w:tcPr>
            <w:tcW w:w="6629" w:type="dxa"/>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Recommendation 1: That Council makes the following amendments to its draft Corporate Strategy:</w:t>
            </w:r>
          </w:p>
          <w:p w:rsidR="00644143" w:rsidRPr="00644143" w:rsidRDefault="00644143" w:rsidP="00644143">
            <w:pPr>
              <w:pStyle w:val="ListParagraph"/>
              <w:numPr>
                <w:ilvl w:val="0"/>
                <w:numId w:val="31"/>
              </w:numPr>
              <w:tabs>
                <w:tab w:val="clear" w:pos="426"/>
              </w:tabs>
              <w:spacing w:after="0"/>
              <w:rPr>
                <w:rFonts w:cs="Arial"/>
                <w:color w:val="auto"/>
              </w:rPr>
            </w:pPr>
            <w:r w:rsidRPr="00644143">
              <w:rPr>
                <w:rFonts w:cs="Arial"/>
                <w:color w:val="auto"/>
              </w:rPr>
              <w:t>Clarify to readers the difference between and reasons for changing from the existing reporting system to the use of bespoke business plans</w:t>
            </w:r>
          </w:p>
          <w:p w:rsidR="00644143" w:rsidRPr="00644143" w:rsidRDefault="00644143" w:rsidP="00644143">
            <w:pPr>
              <w:pStyle w:val="ListParagraph"/>
              <w:numPr>
                <w:ilvl w:val="0"/>
                <w:numId w:val="31"/>
              </w:numPr>
              <w:tabs>
                <w:tab w:val="clear" w:pos="426"/>
              </w:tabs>
              <w:spacing w:after="0"/>
              <w:rPr>
                <w:rFonts w:cs="Arial"/>
                <w:color w:val="auto"/>
              </w:rPr>
            </w:pPr>
            <w:r w:rsidRPr="00644143">
              <w:rPr>
                <w:rFonts w:cs="Arial"/>
                <w:color w:val="auto"/>
              </w:rPr>
              <w:lastRenderedPageBreak/>
              <w:t>Increase the emphasis on the drive to reduce inequalities which underpins the actions within the strategy</w:t>
            </w:r>
          </w:p>
          <w:p w:rsidR="00644143" w:rsidRPr="00644143" w:rsidRDefault="00644143" w:rsidP="00644143">
            <w:pPr>
              <w:pStyle w:val="ListParagraph"/>
              <w:numPr>
                <w:ilvl w:val="0"/>
                <w:numId w:val="31"/>
              </w:numPr>
              <w:tabs>
                <w:tab w:val="clear" w:pos="426"/>
              </w:tabs>
              <w:spacing w:after="0"/>
              <w:rPr>
                <w:rFonts w:cs="Arial"/>
                <w:color w:val="auto"/>
              </w:rPr>
            </w:pPr>
            <w:r w:rsidRPr="00644143">
              <w:rPr>
                <w:rFonts w:cs="Arial"/>
                <w:color w:val="auto"/>
              </w:rPr>
              <w:t>Review the suitability of references to residents, customers and citizens within their specific contexts</w:t>
            </w:r>
          </w:p>
          <w:p w:rsidR="00644143" w:rsidRPr="00644143" w:rsidRDefault="00644143" w:rsidP="00644143">
            <w:pPr>
              <w:pStyle w:val="ListParagraph"/>
              <w:numPr>
                <w:ilvl w:val="0"/>
                <w:numId w:val="31"/>
              </w:numPr>
              <w:tabs>
                <w:tab w:val="clear" w:pos="426"/>
              </w:tabs>
              <w:spacing w:after="0"/>
              <w:rPr>
                <w:rFonts w:cs="Arial"/>
                <w:color w:val="auto"/>
              </w:rPr>
            </w:pPr>
            <w:r w:rsidRPr="00644143">
              <w:rPr>
                <w:rFonts w:cs="Arial"/>
                <w:color w:val="auto"/>
              </w:rPr>
              <w:t>Add the following outcome to the Partner section of the Inclusive Economy Outcomes table: ‘Local organisations adopt practices which support an inclusive economy and recognise the social value implications of their business decisions.’</w:t>
            </w:r>
          </w:p>
          <w:p w:rsidR="00644143" w:rsidRPr="00644143" w:rsidRDefault="00644143" w:rsidP="00644143">
            <w:pPr>
              <w:pStyle w:val="ListParagraph"/>
              <w:numPr>
                <w:ilvl w:val="0"/>
                <w:numId w:val="31"/>
              </w:numPr>
              <w:tabs>
                <w:tab w:val="clear" w:pos="426"/>
              </w:tabs>
              <w:spacing w:after="0"/>
              <w:rPr>
                <w:rFonts w:cs="Arial"/>
                <w:color w:val="auto"/>
              </w:rPr>
            </w:pPr>
            <w:r w:rsidRPr="00644143">
              <w:rPr>
                <w:rFonts w:cs="Arial"/>
                <w:color w:val="auto"/>
              </w:rPr>
              <w:t xml:space="preserve">Reference the Council’s success in engaging its residents in policy-making and its commitment to continuing to do so </w:t>
            </w:r>
          </w:p>
          <w:p w:rsidR="00644143" w:rsidRPr="00644143" w:rsidRDefault="00644143" w:rsidP="00644143">
            <w:pPr>
              <w:pStyle w:val="ListParagraph"/>
              <w:numPr>
                <w:ilvl w:val="0"/>
                <w:numId w:val="31"/>
              </w:numPr>
              <w:tabs>
                <w:tab w:val="clear" w:pos="426"/>
              </w:tabs>
              <w:spacing w:after="0"/>
              <w:rPr>
                <w:rFonts w:cs="Arial"/>
                <w:b/>
                <w:color w:val="auto"/>
              </w:rPr>
            </w:pPr>
            <w:r w:rsidRPr="00644143">
              <w:rPr>
                <w:rFonts w:cs="Arial"/>
                <w:color w:val="auto"/>
              </w:rPr>
              <w:t xml:space="preserve">Include reference to the ‘Oxford model’ </w:t>
            </w:r>
          </w:p>
          <w:p w:rsidR="00644143" w:rsidRPr="00644143" w:rsidRDefault="00644143" w:rsidP="005A47D1">
            <w:pPr>
              <w:spacing w:after="0"/>
              <w:ind w:left="360"/>
              <w:rPr>
                <w:rFonts w:ascii="Arial" w:hAnsi="Arial" w:cs="Arial"/>
                <w:b/>
                <w:sz w:val="24"/>
                <w:szCs w:val="24"/>
              </w:rPr>
            </w:pPr>
          </w:p>
        </w:tc>
        <w:tc>
          <w:tcPr>
            <w:tcW w:w="1134" w:type="dxa"/>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lastRenderedPageBreak/>
              <w:t>Yes</w:t>
            </w:r>
          </w:p>
        </w:tc>
        <w:tc>
          <w:tcPr>
            <w:tcW w:w="6520" w:type="dxa"/>
            <w:shd w:val="clear" w:color="auto" w:fill="auto"/>
          </w:tcPr>
          <w:p w:rsidR="00644143" w:rsidRPr="00644143" w:rsidRDefault="00644143" w:rsidP="005A47D1">
            <w:pPr>
              <w:rPr>
                <w:rFonts w:ascii="Arial" w:hAnsi="Arial" w:cs="Arial"/>
                <w:sz w:val="24"/>
                <w:szCs w:val="24"/>
              </w:rPr>
            </w:pPr>
            <w:r w:rsidRPr="00644143">
              <w:rPr>
                <w:rFonts w:ascii="Arial" w:hAnsi="Arial" w:cs="Arial"/>
                <w:sz w:val="24"/>
                <w:szCs w:val="24"/>
              </w:rPr>
              <w:t>A number of changes to the document have been made to reflect the recommended changes, which are now ‘live’ as part of the public consultation document.</w:t>
            </w:r>
          </w:p>
        </w:tc>
      </w:tr>
    </w:tbl>
    <w:p w:rsidR="00430AB6" w:rsidRDefault="00430AB6" w:rsidP="00E44DE7">
      <w:pPr>
        <w:spacing w:after="0" w:line="240" w:lineRule="auto"/>
        <w:rPr>
          <w:rFonts w:ascii="Arial" w:eastAsia="Times New Roman" w:hAnsi="Arial" w:cs="Arial"/>
          <w:b/>
          <w:sz w:val="24"/>
          <w:szCs w:val="24"/>
        </w:rPr>
      </w:pPr>
    </w:p>
    <w:p w:rsidR="007D7C0C" w:rsidRDefault="007D7C0C" w:rsidP="00E44DE7">
      <w:pPr>
        <w:spacing w:after="0" w:line="240" w:lineRule="auto"/>
        <w:rPr>
          <w:rFonts w:ascii="Arial" w:eastAsia="Times New Roman" w:hAnsi="Arial" w:cs="Arial"/>
          <w:b/>
          <w:sz w:val="24"/>
          <w:szCs w:val="24"/>
        </w:rPr>
      </w:pPr>
    </w:p>
    <w:sectPr w:rsidR="007D7C0C" w:rsidSect="00E44D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4DA"/>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67DCB"/>
    <w:multiLevelType w:val="hybridMultilevel"/>
    <w:tmpl w:val="5EE04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3D2125"/>
    <w:multiLevelType w:val="hybridMultilevel"/>
    <w:tmpl w:val="881AD0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E592067"/>
    <w:multiLevelType w:val="hybridMultilevel"/>
    <w:tmpl w:val="8A68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E0696"/>
    <w:multiLevelType w:val="hybridMultilevel"/>
    <w:tmpl w:val="9132B5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FD70D44"/>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5E242F"/>
    <w:multiLevelType w:val="hybridMultilevel"/>
    <w:tmpl w:val="92184D1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A46E3E"/>
    <w:multiLevelType w:val="hybridMultilevel"/>
    <w:tmpl w:val="084A4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6550CF"/>
    <w:multiLevelType w:val="hybridMultilevel"/>
    <w:tmpl w:val="F33E2E24"/>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7332D66"/>
    <w:multiLevelType w:val="hybridMultilevel"/>
    <w:tmpl w:val="54BC1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37179C"/>
    <w:multiLevelType w:val="hybridMultilevel"/>
    <w:tmpl w:val="903CB69C"/>
    <w:lvl w:ilvl="0" w:tplc="0FD231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4A67BF"/>
    <w:multiLevelType w:val="hybridMultilevel"/>
    <w:tmpl w:val="CAF4B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E462999"/>
    <w:multiLevelType w:val="hybridMultilevel"/>
    <w:tmpl w:val="EC8AF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4A80A9B"/>
    <w:multiLevelType w:val="hybridMultilevel"/>
    <w:tmpl w:val="EE48C05C"/>
    <w:lvl w:ilvl="0" w:tplc="87704184">
      <w:start w:val="1"/>
      <w:numFmt w:val="lowerLetter"/>
      <w:lvlText w:val="%1)"/>
      <w:lvlJc w:val="left"/>
      <w:pPr>
        <w:ind w:left="1212" w:hanging="360"/>
      </w:pPr>
      <w:rPr>
        <w:i w:val="0"/>
      </w:r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abstractNum w:abstractNumId="17">
    <w:nsid w:val="5669498B"/>
    <w:multiLevelType w:val="hybridMultilevel"/>
    <w:tmpl w:val="8B86F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2C095F"/>
    <w:multiLevelType w:val="hybridMultilevel"/>
    <w:tmpl w:val="70D0414C"/>
    <w:lvl w:ilvl="0" w:tplc="3AD44DE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nsid w:val="5CD52CE0"/>
    <w:multiLevelType w:val="hybridMultilevel"/>
    <w:tmpl w:val="A8AE97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FB5ECA"/>
    <w:multiLevelType w:val="hybridMultilevel"/>
    <w:tmpl w:val="0F8CAA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833BBE"/>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4A6148"/>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8D5695"/>
    <w:multiLevelType w:val="hybridMultilevel"/>
    <w:tmpl w:val="AC38767A"/>
    <w:lvl w:ilvl="0" w:tplc="88468A2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D35F0B"/>
    <w:multiLevelType w:val="hybridMultilevel"/>
    <w:tmpl w:val="60C28D96"/>
    <w:lvl w:ilvl="0" w:tplc="16B819BE">
      <w:start w:val="1"/>
      <w:numFmt w:val="decimal"/>
      <w:lvlText w:val="%1)"/>
      <w:lvlJc w:val="left"/>
      <w:pPr>
        <w:ind w:left="644" w:hanging="360"/>
      </w:pPr>
      <w:rPr>
        <w:rFonts w:cs="Times New Roman"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B074150"/>
    <w:multiLevelType w:val="hybridMultilevel"/>
    <w:tmpl w:val="1A3CD0E6"/>
    <w:lvl w:ilvl="0" w:tplc="7C262F26">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7">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7B766E9"/>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lvlOverride w:ilvl="0">
      <w:lvl w:ilvl="0">
        <w:start w:val="1"/>
        <w:numFmt w:val="decimal"/>
        <w:lvlText w:val="%1."/>
        <w:lvlJc w:val="left"/>
        <w:pPr>
          <w:ind w:left="360" w:hanging="360"/>
        </w:pPr>
        <w:rPr>
          <w:rFonts w:ascii="Arial" w:hAnsi="Arial"/>
          <w:b w:val="0"/>
          <w:color w:val="000000"/>
          <w:sz w:val="24"/>
        </w:rPr>
      </w:lvl>
    </w:lvlOverride>
  </w:num>
  <w:num w:numId="2">
    <w:abstractNumId w:val="11"/>
  </w:num>
  <w:num w:numId="3">
    <w:abstractNumId w:val="13"/>
  </w:num>
  <w:num w:numId="4">
    <w:abstractNumId w:val="20"/>
  </w:num>
  <w:num w:numId="5">
    <w:abstractNumId w:val="19"/>
  </w:num>
  <w:num w:numId="6">
    <w:abstractNumId w:val="17"/>
  </w:num>
  <w:num w:numId="7">
    <w:abstractNumId w:val="18"/>
  </w:num>
  <w:num w:numId="8">
    <w:abstractNumId w:val="12"/>
  </w:num>
  <w:num w:numId="9">
    <w:abstractNumId w:val="25"/>
  </w:num>
  <w:num w:numId="10">
    <w:abstractNumId w:val="15"/>
  </w:num>
  <w:num w:numId="11">
    <w:abstractNumId w:val="14"/>
  </w:num>
  <w:num w:numId="12">
    <w:abstractNumId w:val="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8"/>
  </w:num>
  <w:num w:numId="23">
    <w:abstractNumId w:val="0"/>
  </w:num>
  <w:num w:numId="24">
    <w:abstractNumId w:val="21"/>
  </w:num>
  <w:num w:numId="25">
    <w:abstractNumId w:val="24"/>
  </w:num>
  <w:num w:numId="26">
    <w:abstractNumId w:val="6"/>
  </w:num>
  <w:num w:numId="27">
    <w:abstractNumId w:val="2"/>
  </w:num>
  <w:num w:numId="28">
    <w:abstractNumId w:val="23"/>
  </w:num>
  <w:num w:numId="29">
    <w:abstractNumId w:val="1"/>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E7"/>
    <w:rsid w:val="000F376D"/>
    <w:rsid w:val="001320B4"/>
    <w:rsid w:val="00190A32"/>
    <w:rsid w:val="002B21B9"/>
    <w:rsid w:val="00373CFF"/>
    <w:rsid w:val="004266AC"/>
    <w:rsid w:val="00430AB6"/>
    <w:rsid w:val="004E6E3E"/>
    <w:rsid w:val="004F003D"/>
    <w:rsid w:val="00587396"/>
    <w:rsid w:val="00642C65"/>
    <w:rsid w:val="00644143"/>
    <w:rsid w:val="006B68F4"/>
    <w:rsid w:val="006E0918"/>
    <w:rsid w:val="007D6D4E"/>
    <w:rsid w:val="007D7C0C"/>
    <w:rsid w:val="008C2C47"/>
    <w:rsid w:val="008C6D89"/>
    <w:rsid w:val="009A081E"/>
    <w:rsid w:val="009B3D5E"/>
    <w:rsid w:val="00AC5338"/>
    <w:rsid w:val="00B175BF"/>
    <w:rsid w:val="00C24AF6"/>
    <w:rsid w:val="00CB63BB"/>
    <w:rsid w:val="00DA1442"/>
    <w:rsid w:val="00E44DE7"/>
    <w:rsid w:val="00E55AD5"/>
    <w:rsid w:val="00EA6658"/>
    <w:rsid w:val="00EB23B5"/>
    <w:rsid w:val="00F96BD7"/>
    <w:rsid w:val="00FA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D7C0C"/>
    <w:rPr>
      <w:i/>
      <w:iCs/>
    </w:rPr>
  </w:style>
  <w:style w:type="paragraph" w:styleId="NoSpacing">
    <w:name w:val="No Spacing"/>
    <w:uiPriority w:val="1"/>
    <w:qFormat/>
    <w:rsid w:val="007D7C0C"/>
    <w:pPr>
      <w:spacing w:after="0" w:line="240" w:lineRule="auto"/>
    </w:pPr>
    <w:rPr>
      <w:rFonts w:ascii="Arial" w:eastAsia="Times New Roman" w:hAnsi="Arial" w:cs="Times New Roman"/>
      <w:sz w:val="24"/>
      <w:szCs w:val="20"/>
      <w:lang w:eastAsia="en-GB"/>
    </w:rPr>
  </w:style>
  <w:style w:type="character" w:styleId="Hyperlink">
    <w:name w:val="Hyperlink"/>
    <w:aliases w:val="set Hyperlink"/>
    <w:qFormat/>
    <w:rsid w:val="004F003D"/>
    <w:rPr>
      <w:rFonts w:ascii="Arial" w:hAnsi="Arial"/>
      <w:color w:val="0000FF"/>
      <w:sz w:val="24"/>
      <w:u w:val="single"/>
    </w:rPr>
  </w:style>
  <w:style w:type="paragraph" w:styleId="ListParagraph">
    <w:name w:val="List Paragraph"/>
    <w:basedOn w:val="Normal"/>
    <w:link w:val="ListParagraphChar"/>
    <w:uiPriority w:val="34"/>
    <w:qFormat/>
    <w:rsid w:val="00644143"/>
    <w:pPr>
      <w:tabs>
        <w:tab w:val="left" w:pos="426"/>
      </w:tabs>
      <w:spacing w:after="120" w:line="240" w:lineRule="auto"/>
      <w:ind w:left="360" w:hanging="360"/>
    </w:pPr>
    <w:rPr>
      <w:rFonts w:ascii="Arial" w:eastAsia="Times New Roman" w:hAnsi="Arial" w:cs="Times New Roman"/>
      <w:color w:val="000000"/>
      <w:sz w:val="24"/>
      <w:szCs w:val="24"/>
      <w:lang w:eastAsia="en-GB"/>
    </w:rPr>
  </w:style>
  <w:style w:type="numbering" w:customStyle="1" w:styleId="StyleNumberedLeft0cmHanging075cm">
    <w:name w:val="Style Numbered Left:  0 cm Hanging:  0.75 cm"/>
    <w:basedOn w:val="NoList"/>
    <w:rsid w:val="00644143"/>
    <w:pPr>
      <w:numPr>
        <w:numId w:val="27"/>
      </w:numPr>
    </w:pPr>
  </w:style>
  <w:style w:type="character" w:customStyle="1" w:styleId="ListParagraphChar">
    <w:name w:val="List Paragraph Char"/>
    <w:link w:val="ListParagraph"/>
    <w:uiPriority w:val="34"/>
    <w:rsid w:val="00644143"/>
    <w:rPr>
      <w:rFonts w:ascii="Arial" w:eastAsia="Times New Roman" w:hAnsi="Arial"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D7C0C"/>
    <w:rPr>
      <w:i/>
      <w:iCs/>
    </w:rPr>
  </w:style>
  <w:style w:type="paragraph" w:styleId="NoSpacing">
    <w:name w:val="No Spacing"/>
    <w:uiPriority w:val="1"/>
    <w:qFormat/>
    <w:rsid w:val="007D7C0C"/>
    <w:pPr>
      <w:spacing w:after="0" w:line="240" w:lineRule="auto"/>
    </w:pPr>
    <w:rPr>
      <w:rFonts w:ascii="Arial" w:eastAsia="Times New Roman" w:hAnsi="Arial" w:cs="Times New Roman"/>
      <w:sz w:val="24"/>
      <w:szCs w:val="20"/>
      <w:lang w:eastAsia="en-GB"/>
    </w:rPr>
  </w:style>
  <w:style w:type="character" w:styleId="Hyperlink">
    <w:name w:val="Hyperlink"/>
    <w:aliases w:val="set Hyperlink"/>
    <w:qFormat/>
    <w:rsid w:val="004F003D"/>
    <w:rPr>
      <w:rFonts w:ascii="Arial" w:hAnsi="Arial"/>
      <w:color w:val="0000FF"/>
      <w:sz w:val="24"/>
      <w:u w:val="single"/>
    </w:rPr>
  </w:style>
  <w:style w:type="paragraph" w:styleId="ListParagraph">
    <w:name w:val="List Paragraph"/>
    <w:basedOn w:val="Normal"/>
    <w:link w:val="ListParagraphChar"/>
    <w:uiPriority w:val="34"/>
    <w:qFormat/>
    <w:rsid w:val="00644143"/>
    <w:pPr>
      <w:tabs>
        <w:tab w:val="left" w:pos="426"/>
      </w:tabs>
      <w:spacing w:after="120" w:line="240" w:lineRule="auto"/>
      <w:ind w:left="360" w:hanging="360"/>
    </w:pPr>
    <w:rPr>
      <w:rFonts w:ascii="Arial" w:eastAsia="Times New Roman" w:hAnsi="Arial" w:cs="Times New Roman"/>
      <w:color w:val="000000"/>
      <w:sz w:val="24"/>
      <w:szCs w:val="24"/>
      <w:lang w:eastAsia="en-GB"/>
    </w:rPr>
  </w:style>
  <w:style w:type="numbering" w:customStyle="1" w:styleId="StyleNumberedLeft0cmHanging075cm">
    <w:name w:val="Style Numbered Left:  0 cm Hanging:  0.75 cm"/>
    <w:basedOn w:val="NoList"/>
    <w:rsid w:val="00644143"/>
    <w:pPr>
      <w:numPr>
        <w:numId w:val="27"/>
      </w:numPr>
    </w:pPr>
  </w:style>
  <w:style w:type="character" w:customStyle="1" w:styleId="ListParagraphChar">
    <w:name w:val="List Paragraph Char"/>
    <w:link w:val="ListParagraph"/>
    <w:uiPriority w:val="34"/>
    <w:rsid w:val="00644143"/>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6311">
      <w:bodyDiv w:val="1"/>
      <w:marLeft w:val="0"/>
      <w:marRight w:val="0"/>
      <w:marTop w:val="0"/>
      <w:marBottom w:val="0"/>
      <w:divBdr>
        <w:top w:val="none" w:sz="0" w:space="0" w:color="auto"/>
        <w:left w:val="none" w:sz="0" w:space="0" w:color="auto"/>
        <w:bottom w:val="none" w:sz="0" w:space="0" w:color="auto"/>
        <w:right w:val="none" w:sz="0" w:space="0" w:color="auto"/>
      </w:divBdr>
    </w:div>
    <w:div w:id="949314970">
      <w:bodyDiv w:val="1"/>
      <w:marLeft w:val="0"/>
      <w:marRight w:val="0"/>
      <w:marTop w:val="0"/>
      <w:marBottom w:val="0"/>
      <w:divBdr>
        <w:top w:val="none" w:sz="0" w:space="0" w:color="auto"/>
        <w:left w:val="none" w:sz="0" w:space="0" w:color="auto"/>
        <w:bottom w:val="none" w:sz="0" w:space="0" w:color="auto"/>
        <w:right w:val="none" w:sz="0" w:space="0" w:color="auto"/>
      </w:divBdr>
    </w:div>
    <w:div w:id="1365444220">
      <w:bodyDiv w:val="1"/>
      <w:marLeft w:val="0"/>
      <w:marRight w:val="0"/>
      <w:marTop w:val="0"/>
      <w:marBottom w:val="0"/>
      <w:divBdr>
        <w:top w:val="none" w:sz="0" w:space="0" w:color="auto"/>
        <w:left w:val="none" w:sz="0" w:space="0" w:color="auto"/>
        <w:bottom w:val="none" w:sz="0" w:space="0" w:color="auto"/>
        <w:right w:val="none" w:sz="0" w:space="0" w:color="auto"/>
      </w:divBdr>
    </w:div>
    <w:div w:id="1735667051">
      <w:bodyDiv w:val="1"/>
      <w:marLeft w:val="0"/>
      <w:marRight w:val="0"/>
      <w:marTop w:val="0"/>
      <w:marBottom w:val="0"/>
      <w:divBdr>
        <w:top w:val="none" w:sz="0" w:space="0" w:color="auto"/>
        <w:left w:val="none" w:sz="0" w:space="0" w:color="auto"/>
        <w:bottom w:val="none" w:sz="0" w:space="0" w:color="auto"/>
        <w:right w:val="none" w:sz="0" w:space="0" w:color="auto"/>
      </w:divBdr>
    </w:div>
    <w:div w:id="1987276652">
      <w:bodyDiv w:val="1"/>
      <w:marLeft w:val="0"/>
      <w:marRight w:val="0"/>
      <w:marTop w:val="0"/>
      <w:marBottom w:val="0"/>
      <w:divBdr>
        <w:top w:val="none" w:sz="0" w:space="0" w:color="auto"/>
        <w:left w:val="none" w:sz="0" w:space="0" w:color="auto"/>
        <w:bottom w:val="none" w:sz="0" w:space="0" w:color="auto"/>
        <w:right w:val="none" w:sz="0" w:space="0" w:color="auto"/>
      </w:divBdr>
    </w:div>
    <w:div w:id="2143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DC771D0E</Template>
  <TotalTime>18</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thudson</cp:lastModifiedBy>
  <cp:revision>3</cp:revision>
  <dcterms:created xsi:type="dcterms:W3CDTF">2020-01-14T11:51:00Z</dcterms:created>
  <dcterms:modified xsi:type="dcterms:W3CDTF">2020-01-14T13:03:00Z</dcterms:modified>
</cp:coreProperties>
</file>